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Итоговый протокол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признании претендентов участниками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аукциона</w:t>
      </w:r>
      <w:r>
        <w:rPr>
          <w:sz w:val="27"/>
          <w:szCs w:val="27"/>
        </w:rPr>
        <w:t xml:space="preserve"> в электронной форме по продаже изъят</w:t>
      </w:r>
      <w:r>
        <w:rPr>
          <w:sz w:val="27"/>
          <w:szCs w:val="27"/>
        </w:rPr>
        <w:t xml:space="preserve">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Федерации: 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нежилого здания общей площадью 2155,4 кв.м., кадастровый номер 52:15:0080305:296, являющегося</w:t>
      </w:r>
      <w:r>
        <w:rPr>
          <w:b/>
          <w:sz w:val="27"/>
          <w:szCs w:val="27"/>
        </w:rPr>
        <w:t xml:space="preserve"> объектом культурного наследия регионального значения – «Дом купца Башкирова», расположенного по адресу: Нижегородская обл., г.Городец, ул.М.Горького, д.118 и земельного участка под ним площадью 1809 +/- 14,9 кв.м, кадастровый номер 52:15:0080305:238, кате</w:t>
      </w:r>
      <w:r>
        <w:rPr>
          <w:b/>
          <w:sz w:val="27"/>
          <w:szCs w:val="27"/>
        </w:rPr>
        <w:t xml:space="preserve">гория земель: земли населенных пунктов, вид разрешенного использования: под зданием развлекательного центра, местоположение: Российская Федерация, Нижегородская область, муниципальный округ Городецкий, город Городец, улица М.Горького, земельный участок 118</w:t>
      </w:r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на </w:t>
      </w:r>
      <w:r>
        <w:rPr>
          <w:b/>
          <w:sz w:val="27"/>
          <w:szCs w:val="27"/>
        </w:rPr>
        <w:t xml:space="preserve">электронной торговой площадке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706"/>
        <w:contextualSpacing/>
        <w:ind w:right="-1" w:firstLine="709"/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АО «Российский аукционный дом» www.lot-online.ru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bCs/>
          <w:i/>
          <w:iCs/>
          <w:sz w:val="27"/>
          <w:szCs w:val="27"/>
        </w:rPr>
      </w:pPr>
      <w:r>
        <w:rPr>
          <w:bCs/>
          <w:i/>
          <w:iCs/>
          <w:sz w:val="27"/>
          <w:szCs w:val="27"/>
        </w:rPr>
      </w:r>
      <w:r>
        <w:rPr>
          <w:bCs/>
          <w:i/>
          <w:iCs/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11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.20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6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имущества: 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Нежилое здание общей площадью 2155,4 кв.м., кадастровый номер 52:15:0080305:296, являющийся объектом культурного наследия регионального значения – «Дом купца Башкирова» (далее – Объект 1) (документ о включении объ</w:t>
      </w:r>
      <w:r>
        <w:rPr>
          <w:sz w:val="27"/>
          <w:szCs w:val="27"/>
        </w:rPr>
        <w:t xml:space="preserve">екта культурного наследия в единый государственный реестр объектов культурного наследия (памятников истории и культуры) народов Российской Федерации - решение Исполнительного комитета Горьковского областного совета народных депутатов от 18.12.1989 № 471). 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Земельный участок под Объектом 1 площадью 1809 +/- 14,9 кв.м, кадастровый номер 52:15:0080305:238, категория земель: земли </w:t>
      </w:r>
      <w:r>
        <w:rPr>
          <w:sz w:val="27"/>
          <w:szCs w:val="27"/>
        </w:rPr>
        <w:t xml:space="preserve">населенных пунктов, вид разрешенного использования: под зданием развлекательного центра, местоположение: Российская Федерация, Нижегородская область, муниципальный округ Городецкий, город Городец, улица М.Горького, земельный участок 118 (далее – Объект 2).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Объект 1 и Объект 2 вместе именуются Имущество.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Собственник Объекта 1 и Объекта 2 – физическое лицо.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сведениям из выписок из Единого государственного реестра недвижимости, на Объект 1 и Объект 2 установлены ограничения и обременения, в том числе: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Объект 1: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Охранным обязательс</w:t>
      </w:r>
      <w:r>
        <w:rPr>
          <w:sz w:val="27"/>
          <w:szCs w:val="27"/>
        </w:rPr>
        <w:t xml:space="preserve">твом собственника или иного законного владельца объекта культурного наследия регионального значения «Дом купца Башкирова», расположенного по адресу: Нижегородская обл., г.Городец, ул.М.Горького, д.118, утвержденным приказом управления государственной охран</w:t>
      </w:r>
      <w:r>
        <w:rPr>
          <w:sz w:val="27"/>
          <w:szCs w:val="27"/>
        </w:rPr>
        <w:t xml:space="preserve">ы объектов культурного наследия Нижегородской области от 14.08.2024 № 30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отношении Имущества: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запрещение регистрации на основании определения Городецкого городского суда Нижегородской области об обеспечении иска, выданного 02.08.2023.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Начальная цена предмета аукциона – 12 772 000 рублей, состоит из: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Начальной цены Объекта 1 – 9 579 000 рублей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Начальной цены Объекта 2 – 3 193 000 рублей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Сумма задатка (20%) – 2 554 400 рублей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аукциона – 50 000 рублей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Стоимость выполнения реставрационно - ремон</w:t>
      </w:r>
      <w:r>
        <w:rPr>
          <w:sz w:val="27"/>
          <w:szCs w:val="27"/>
        </w:rPr>
        <w:t xml:space="preserve">тных работ (восстановительных работ) в отношении объекта культурного наследия регионального значения - объекта культурного наследия регионального значения «Дом купца Башкирова», расположенного по адресу: Нижегородская обл., г.Городец, ул.М.Горького, д.118 </w:t>
      </w:r>
      <w:r>
        <w:rPr>
          <w:sz w:val="27"/>
          <w:szCs w:val="27"/>
        </w:rPr>
        <w:t xml:space="preserve">составляет 295 985,67 тыс.рублей, согласно отчету ГАУ НО «Научно-производственный центр по сохранению объектов культурного наследия Нижегородской области» (письмо от 11.12.2025 № Сл--1132015/25)</w:t>
      </w:r>
      <w:r>
        <w:rPr>
          <w:sz w:val="27"/>
          <w:szCs w:val="27"/>
        </w:rPr>
        <w:t xml:space="preserve"> о стоимости восстановительных работ </w:t>
      </w: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 отношении объекта культурного наследия регионального значения «Дом купца Башкирова», начало ХХ века, представленному управлением государственной охраны объектов культурного наследия Нижегородской области</w:t>
      </w:r>
      <w:r>
        <w:rPr>
          <w:sz w:val="27"/>
          <w:szCs w:val="27"/>
        </w:rPr>
        <w:t xml:space="preserve">. </w:t>
      </w:r>
      <w:r>
        <w:rPr>
          <w:sz w:val="27"/>
          <w:szCs w:val="27"/>
        </w:rPr>
      </w:r>
    </w:p>
    <w:p>
      <w:pPr>
        <w:pStyle w:val="706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о проведении публичных торгов принято в соответствии с решением Городецкого городского суда Нижегородской области от 27.02.2024 по делу </w:t>
        <w:br w:type="textWrapping" w:clear="all"/>
        <w:t xml:space="preserve">№ 2-47/2024 (2-1617/2023).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Резолютивная часть решения Городецкого городского суда Нижегородской области от 27.02.2024 по делу № 2-47/2024 (2-1617/2023), на основании которого принято решение об изъятии Имущества у собственника путем продажи с публичных торгов:</w:t>
      </w:r>
      <w:r>
        <w:rPr>
          <w:sz w:val="27"/>
          <w:szCs w:val="27"/>
        </w:rPr>
      </w:r>
    </w:p>
    <w:p>
      <w:pPr>
        <w:pStyle w:val="706"/>
        <w:contextualSpacing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«Исковые тре</w:t>
      </w:r>
      <w:r>
        <w:rPr>
          <w:sz w:val="27"/>
          <w:szCs w:val="27"/>
        </w:rPr>
        <w:t xml:space="preserve">бования Управления государственной охраны объектов культурного наследия Нижегородской области (ИНН 5260167723) к                             (ИНН                  ) об изъятии у собственника бесхозно содержимого объекта культурного наследия, удовлетворить.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Изъять объект культурного наследия регионального значения «Дом купца Башкирова», расположенный по адресу: Нижегородская область, г. Городец, </w:t>
        <w:br w:type="textWrapping" w:clear="all"/>
        <w:t xml:space="preserve">ул. М. Горького, д. 118, площадью </w:t>
      </w:r>
      <w:r>
        <w:rPr>
          <w:sz w:val="27"/>
          <w:szCs w:val="27"/>
        </w:rPr>
        <w:t xml:space="preserve">2155,4 кв.м. с кадастровым номером 52:15:0080305:296 и занимаемый им земельный участок с кадастровым номером 52:15:0080305:238, площадью 1809 +/-14,9 кв.м., расположенный по адресу: Нижегородская область, г. Городец, ул. М. Горького, земельный участок 116.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Оператор электронной площадки, на которой проводится аукциона –</w:t>
        <w:br w:type="textWrapping" w:clear="all"/>
        <w:t xml:space="preserve"> АО «Российский аукционный дом»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участия в </w:t>
      </w:r>
      <w:r>
        <w:rPr>
          <w:sz w:val="27"/>
          <w:szCs w:val="27"/>
        </w:rPr>
        <w:t xml:space="preserve">аукционе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электронной форме по продаже изъятого по решению суда объекта культурного наследия регионального значения –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Дом купца Башкирова</w:t>
      </w:r>
      <w:r>
        <w:rPr>
          <w:sz w:val="27"/>
          <w:szCs w:val="27"/>
        </w:rPr>
        <w:t xml:space="preserve">», </w:t>
      </w:r>
      <w:r>
        <w:rPr>
          <w:sz w:val="27"/>
          <w:szCs w:val="27"/>
        </w:rPr>
        <w:t xml:space="preserve">и занимаемый им земельный участок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 xml:space="preserve">Нижегородская обл., г.Городец, ул.М.Горького, д.118</w:t>
      </w:r>
      <w:r>
        <w:rPr>
          <w:sz w:val="27"/>
          <w:szCs w:val="27"/>
        </w:rPr>
        <w:t xml:space="preserve">, поступил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</w:t>
      </w:r>
      <w:r>
        <w:rPr>
          <w:sz w:val="27"/>
          <w:szCs w:val="27"/>
        </w:rPr>
        <w:t xml:space="preserve"> заявк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Заявитель</w:t>
      </w:r>
      <w:r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1 </w:t>
      </w:r>
      <w:r>
        <w:rPr>
          <w:sz w:val="27"/>
          <w:szCs w:val="27"/>
        </w:rPr>
        <w:t xml:space="preserve">–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Заявка </w:t>
      </w:r>
      <w:r>
        <w:rPr>
          <w:sz w:val="27"/>
          <w:szCs w:val="27"/>
          <w:lang w:val="en-US"/>
        </w:rPr>
        <w:t xml:space="preserve">Z</w:t>
      </w:r>
      <w:r>
        <w:rPr>
          <w:sz w:val="27"/>
          <w:szCs w:val="27"/>
        </w:rPr>
        <w:t xml:space="preserve">124070</w:t>
      </w:r>
      <w:r>
        <w:rPr>
          <w:sz w:val="27"/>
          <w:szCs w:val="27"/>
        </w:rPr>
        <w:t xml:space="preserve"> от 05.02.2026</w:t>
      </w:r>
      <w:r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бщество с ограниченной ответственностью «Приволжский центр международных инвестиций»,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ИНН</w:t>
      </w:r>
      <w:r>
        <w:rPr>
          <w:sz w:val="27"/>
          <w:szCs w:val="27"/>
        </w:rPr>
        <w:t xml:space="preserve">/КПП</w:t>
      </w:r>
      <w:r>
        <w:rPr>
          <w:sz w:val="27"/>
          <w:szCs w:val="27"/>
        </w:rPr>
        <w:t xml:space="preserve"> 5260192945</w:t>
      </w:r>
      <w:r>
        <w:rPr>
          <w:sz w:val="27"/>
          <w:szCs w:val="27"/>
        </w:rPr>
        <w:t xml:space="preserve">/</w:t>
      </w:r>
      <w:r>
        <w:rPr>
          <w:sz w:val="27"/>
          <w:szCs w:val="27"/>
        </w:rPr>
        <w:t xml:space="preserve">526001001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результатам рассмотрения комиссией </w:t>
      </w:r>
      <w:r>
        <w:rPr>
          <w:sz w:val="27"/>
          <w:szCs w:val="27"/>
        </w:rPr>
        <w:t xml:space="preserve">заявок</w:t>
      </w:r>
      <w:r>
        <w:rPr>
          <w:sz w:val="27"/>
          <w:szCs w:val="27"/>
        </w:rPr>
        <w:t xml:space="preserve"> и документов от претендента на участие в аукционе</w:t>
      </w:r>
      <w:r>
        <w:rPr>
          <w:sz w:val="27"/>
          <w:szCs w:val="27"/>
        </w:rPr>
        <w:t xml:space="preserve">, при условии</w:t>
      </w:r>
      <w:r>
        <w:rPr>
          <w:sz w:val="27"/>
          <w:szCs w:val="27"/>
        </w:rPr>
        <w:t xml:space="preserve">, что </w:t>
      </w:r>
      <w:r>
        <w:rPr>
          <w:sz w:val="27"/>
          <w:szCs w:val="27"/>
        </w:rPr>
        <w:t xml:space="preserve">оператор торгов АО «Российский аукционный дом» обеспечивает принятие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соответствии с Регламентом площадки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претендентов заявок и задатков на участие в аукционе в электронной форме, </w:t>
      </w:r>
      <w:r>
        <w:rPr>
          <w:sz w:val="27"/>
          <w:szCs w:val="27"/>
        </w:rPr>
        <w:t xml:space="preserve">принято решение:</w:t>
      </w:r>
      <w:r>
        <w:rPr>
          <w:sz w:val="27"/>
          <w:szCs w:val="27"/>
        </w:rPr>
      </w:r>
    </w:p>
    <w:p>
      <w:pPr>
        <w:pStyle w:val="706"/>
        <w:contextualSpacing/>
        <w:ind w:right="-1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П</w:t>
      </w:r>
      <w:r>
        <w:rPr>
          <w:b/>
          <w:sz w:val="27"/>
          <w:szCs w:val="27"/>
        </w:rPr>
        <w:t xml:space="preserve">ризнать </w:t>
      </w:r>
      <w:r>
        <w:rPr>
          <w:b/>
          <w:sz w:val="27"/>
          <w:szCs w:val="27"/>
        </w:rPr>
        <w:t xml:space="preserve">единственным</w:t>
      </w:r>
      <w:r>
        <w:rPr>
          <w:b/>
          <w:sz w:val="27"/>
          <w:szCs w:val="27"/>
        </w:rPr>
        <w:t xml:space="preserve"> участником</w:t>
      </w:r>
      <w:r>
        <w:rPr>
          <w:b/>
          <w:sz w:val="27"/>
          <w:szCs w:val="27"/>
        </w:rPr>
        <w:t xml:space="preserve"> аукциона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Общество с ограниченной ответственностью «Приволжский центр международных инвестиций»</w:t>
      </w:r>
      <w:r>
        <w:rPr>
          <w:sz w:val="27"/>
          <w:szCs w:val="27"/>
        </w:rPr>
        <w:t xml:space="preserve">, учитывая, что в соответствии с сформированным с помощью программных средств электронной площадки АО «Российский аукционный дом» ж</w:t>
      </w:r>
      <w:r>
        <w:rPr>
          <w:sz w:val="27"/>
          <w:szCs w:val="27"/>
        </w:rPr>
        <w:t xml:space="preserve">урнал</w:t>
      </w:r>
      <w:r>
        <w:rPr>
          <w:sz w:val="27"/>
          <w:szCs w:val="27"/>
        </w:rPr>
        <w:t xml:space="preserve">ом</w:t>
      </w:r>
      <w:r>
        <w:rPr>
          <w:sz w:val="27"/>
          <w:szCs w:val="27"/>
        </w:rPr>
        <w:t xml:space="preserve"> учета приема заявок и задатков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1275191-4001-63-1</w:t>
      </w:r>
      <w:r>
        <w:rPr>
          <w:sz w:val="27"/>
          <w:szCs w:val="27"/>
        </w:rPr>
        <w:t xml:space="preserve">, задаток от Заявителя №1 поступил.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В соответствии с подпунктом 4.1.1., пунктом 4.2. п</w:t>
      </w:r>
      <w:r>
        <w:rPr>
          <w:sz w:val="27"/>
          <w:szCs w:val="27"/>
        </w:rPr>
        <w:t xml:space="preserve">остановлени</w:t>
      </w:r>
      <w:r>
        <w:rPr>
          <w:sz w:val="27"/>
          <w:szCs w:val="27"/>
        </w:rPr>
        <w:t xml:space="preserve">я</w:t>
      </w:r>
      <w:r>
        <w:rPr>
          <w:sz w:val="27"/>
          <w:szCs w:val="27"/>
        </w:rPr>
        <w:t xml:space="preserve"> Правительства Нижегородской области от 05.04.2019 </w:t>
      </w:r>
      <w:r>
        <w:rPr>
          <w:sz w:val="27"/>
          <w:szCs w:val="27"/>
        </w:rPr>
        <w:t xml:space="preserve">№</w:t>
      </w:r>
      <w:r>
        <w:rPr>
          <w:sz w:val="27"/>
          <w:szCs w:val="27"/>
        </w:rPr>
        <w:t xml:space="preserve"> 200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Об утверждении Порядка проведения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</w:t>
      </w:r>
      <w:r>
        <w:rPr>
          <w:sz w:val="27"/>
          <w:szCs w:val="27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</w:t>
      </w:r>
      <w:r>
        <w:rPr>
          <w:sz w:val="27"/>
          <w:szCs w:val="27"/>
        </w:rPr>
        <w:t xml:space="preserve">» </w:t>
      </w:r>
      <w:r>
        <w:rPr>
          <w:b/>
          <w:sz w:val="27"/>
          <w:szCs w:val="27"/>
        </w:rPr>
        <w:t xml:space="preserve">комиссией принято решение:</w:t>
      </w:r>
      <w:r>
        <w:rPr>
          <w:b/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sz w:val="27"/>
          <w:szCs w:val="27"/>
        </w:rPr>
        <w:t xml:space="preserve">признать аукцион несостоявшимся</w:t>
      </w:r>
      <w:r>
        <w:rPr>
          <w:sz w:val="27"/>
          <w:szCs w:val="27"/>
        </w:rPr>
        <w:t xml:space="preserve">, в связи с признанием только одного претендента участником аукциона;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sz w:val="27"/>
          <w:szCs w:val="27"/>
        </w:rPr>
        <w:t xml:space="preserve">единственному признанному участнику обществу с ограниченной ответственностью «Приволжский центр международных инвестиций» направить</w:t>
      </w:r>
      <w:r>
        <w:rPr>
          <w:sz w:val="27"/>
          <w:szCs w:val="27"/>
        </w:rPr>
        <w:t xml:space="preserve"> в течение десяти дней со дня подписания настоящего протокола </w:t>
      </w:r>
      <w:r>
        <w:rPr>
          <w:b/>
          <w:sz w:val="27"/>
          <w:szCs w:val="27"/>
        </w:rPr>
        <w:t xml:space="preserve">договор купли-продажи </w:t>
      </w:r>
      <w:r>
        <w:rPr>
          <w:sz w:val="27"/>
          <w:szCs w:val="27"/>
        </w:rPr>
        <w:t xml:space="preserve">изъятого имущества по начальной цене аукциона.  </w:t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Состав комиссии  –   </w:t>
      </w:r>
      <w:r>
        <w:rPr>
          <w:iCs/>
          <w:sz w:val="27"/>
          <w:szCs w:val="27"/>
        </w:rPr>
        <w:t xml:space="preserve">8 </w:t>
      </w:r>
      <w:r>
        <w:rPr>
          <w:iCs/>
          <w:sz w:val="27"/>
          <w:szCs w:val="27"/>
        </w:rPr>
        <w:t xml:space="preserve">человек.</w:t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Присутствуют –  </w:t>
      </w:r>
      <w:r>
        <w:rPr>
          <w:iCs/>
          <w:sz w:val="27"/>
          <w:szCs w:val="27"/>
        </w:rPr>
        <w:t xml:space="preserve">7</w:t>
      </w:r>
      <w:r>
        <w:rPr>
          <w:iCs/>
          <w:sz w:val="27"/>
          <w:szCs w:val="27"/>
        </w:rPr>
        <w:t xml:space="preserve"> человек.</w:t>
      </w:r>
      <w:r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Кворум  имеется.</w:t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sz w:val="27"/>
          <w:szCs w:val="27"/>
        </w:rPr>
      </w:pPr>
      <w:r>
        <w:rPr>
          <w:sz w:val="27"/>
          <w:szCs w:val="27"/>
        </w:rPr>
        <w:t xml:space="preserve">Председатель</w:t>
      </w:r>
      <w:r>
        <w:rPr>
          <w:sz w:val="27"/>
          <w:szCs w:val="27"/>
        </w:rPr>
        <w:t xml:space="preserve"> комисс</w:t>
      </w:r>
      <w:r>
        <w:rPr>
          <w:sz w:val="27"/>
          <w:szCs w:val="27"/>
        </w:rPr>
        <w:t xml:space="preserve">ии:</w:t>
        <w:tab/>
        <w:tab/>
        <w:tab/>
      </w:r>
      <w:r>
        <w:rPr>
          <w:sz w:val="27"/>
          <w:szCs w:val="27"/>
        </w:rPr>
        <w:t xml:space="preserve">__________________А.К.Газизов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Заместитель председ</w:t>
      </w:r>
      <w:r>
        <w:rPr>
          <w:iCs/>
          <w:sz w:val="27"/>
          <w:szCs w:val="27"/>
        </w:rPr>
        <w:t xml:space="preserve">ателя комиссии         </w:t>
      </w:r>
      <w:r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t xml:space="preserve">__________________</w:t>
      </w:r>
      <w:r>
        <w:rPr>
          <w:iCs/>
          <w:sz w:val="27"/>
          <w:szCs w:val="27"/>
        </w:rPr>
        <w:t xml:space="preserve">В.П.Пильганов</w:t>
      </w: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spacing w:line="480" w:lineRule="auto"/>
        <w:rPr>
          <w:sz w:val="27"/>
          <w:szCs w:val="27"/>
        </w:rPr>
      </w:pPr>
      <w:r>
        <w:rPr>
          <w:sz w:val="27"/>
          <w:szCs w:val="27"/>
        </w:rPr>
        <w:t xml:space="preserve">Члены комиссии:</w:t>
        <w:tab/>
      </w:r>
      <w:r>
        <w:rPr>
          <w:sz w:val="27"/>
          <w:szCs w:val="27"/>
        </w:rPr>
        <w:tab/>
        <w:tab/>
        <w:tab/>
      </w:r>
      <w:r>
        <w:rPr>
          <w:sz w:val="27"/>
          <w:szCs w:val="27"/>
        </w:rPr>
        <w:tab/>
        <w:t xml:space="preserve">________________</w:t>
      </w:r>
      <w:r>
        <w:rPr>
          <w:sz w:val="27"/>
          <w:szCs w:val="27"/>
        </w:rPr>
        <w:t xml:space="preserve">_ </w:t>
      </w:r>
      <w:r>
        <w:rPr>
          <w:sz w:val="27"/>
          <w:szCs w:val="27"/>
        </w:rPr>
        <w:t xml:space="preserve">О.Л.Гусева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 w:firstLine="709"/>
        <w:rPr>
          <w:sz w:val="27"/>
          <w:szCs w:val="27"/>
        </w:rPr>
      </w:pPr>
      <w:r>
        <w:rPr>
          <w:sz w:val="27"/>
          <w:szCs w:val="27"/>
        </w:rPr>
        <w:tab/>
        <w:tab/>
        <w:tab/>
        <w:tab/>
        <w:tab/>
        <w:tab/>
      </w:r>
      <w:r>
        <w:rPr>
          <w:sz w:val="27"/>
          <w:szCs w:val="27"/>
        </w:rPr>
        <w:tab/>
        <w:t xml:space="preserve">__________________</w:t>
      </w:r>
      <w:r>
        <w:rPr>
          <w:iCs/>
          <w:sz w:val="27"/>
          <w:szCs w:val="27"/>
        </w:rPr>
        <w:t xml:space="preserve">А.</w:t>
      </w:r>
      <w:r>
        <w:rPr>
          <w:iCs/>
          <w:sz w:val="27"/>
          <w:szCs w:val="27"/>
        </w:rPr>
        <w:t xml:space="preserve">А</w:t>
      </w:r>
      <w:r>
        <w:rPr>
          <w:iCs/>
          <w:sz w:val="27"/>
          <w:szCs w:val="27"/>
        </w:rPr>
        <w:t xml:space="preserve">.К</w:t>
      </w:r>
      <w:r>
        <w:rPr>
          <w:iCs/>
          <w:sz w:val="27"/>
          <w:szCs w:val="27"/>
        </w:rPr>
        <w:t xml:space="preserve">атаева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6"/>
        <w:contextualSpacing/>
        <w:ind w:right="-1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ab/>
        <w:tab/>
        <w:tab/>
        <w:tab/>
        <w:tab/>
        <w:tab/>
      </w:r>
      <w:r>
        <w:rPr>
          <w:iCs/>
          <w:sz w:val="27"/>
          <w:szCs w:val="27"/>
        </w:rPr>
        <w:tab/>
        <w:t xml:space="preserve">_________________ </w:t>
      </w:r>
      <w:r>
        <w:rPr>
          <w:iCs/>
          <w:sz w:val="27"/>
          <w:szCs w:val="27"/>
        </w:rPr>
        <w:t xml:space="preserve">А.А.Лыганов</w:t>
      </w: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ab/>
        <w:tab/>
        <w:tab/>
        <w:tab/>
        <w:tab/>
        <w:tab/>
        <w:tab/>
        <w:t xml:space="preserve">_________________ Е.А.Магина</w:t>
      </w: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</w:r>
      <w:r>
        <w:rPr>
          <w:iCs/>
          <w:sz w:val="27"/>
          <w:szCs w:val="27"/>
        </w:rPr>
      </w:r>
    </w:p>
    <w:p>
      <w:pPr>
        <w:pStyle w:val="706"/>
        <w:contextualSpacing/>
        <w:ind w:right="-1" w:firstLine="709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С</w:t>
      </w:r>
      <w:r>
        <w:rPr>
          <w:sz w:val="27"/>
          <w:szCs w:val="27"/>
        </w:rPr>
        <w:t xml:space="preserve">екретарь комиссии</w:t>
        <w:tab/>
        <w:tab/>
        <w:tab/>
      </w:r>
      <w:r>
        <w:rPr>
          <w:sz w:val="27"/>
          <w:szCs w:val="27"/>
        </w:rPr>
        <w:tab/>
        <w:t xml:space="preserve">_________________ </w:t>
      </w:r>
      <w:r>
        <w:rPr>
          <w:iCs/>
          <w:sz w:val="27"/>
          <w:szCs w:val="27"/>
        </w:rPr>
        <w:t xml:space="preserve">Е.В.Кислицына</w:t>
      </w:r>
      <w:r>
        <w:rPr>
          <w:iCs/>
          <w:sz w:val="27"/>
          <w:szCs w:val="27"/>
        </w:rPr>
      </w:r>
    </w:p>
    <w:sectPr>
      <w:footnotePr/>
      <w:endnotePr/>
      <w:type w:val="nextPage"/>
      <w:pgSz w:w="11907" w:h="16840" w:orient="portrait"/>
      <w:pgMar w:top="851" w:right="851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  <w:tabs>
          <w:tab w:val="num" w:pos="1222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  <w:tabs>
          <w:tab w:val="num" w:pos="194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  <w:tabs>
          <w:tab w:val="num" w:pos="266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  <w:tabs>
          <w:tab w:val="num" w:pos="3382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  <w:tabs>
          <w:tab w:val="num" w:pos="410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  <w:tabs>
          <w:tab w:val="num" w:pos="482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  <w:tabs>
          <w:tab w:val="num" w:pos="5542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  <w:tabs>
          <w:tab w:val="num" w:pos="6262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3"/>
  </w:num>
  <w:num w:numId="4">
    <w:abstractNumId w:val="20"/>
  </w:num>
  <w:num w:numId="5">
    <w:abstractNumId w:val="10"/>
  </w:num>
  <w:num w:numId="6">
    <w:abstractNumId w:val="15"/>
  </w:num>
  <w:num w:numId="7">
    <w:abstractNumId w:val="39"/>
  </w:num>
  <w:num w:numId="8">
    <w:abstractNumId w:val="31"/>
  </w:num>
  <w:num w:numId="9">
    <w:abstractNumId w:val="13"/>
  </w:num>
  <w:num w:numId="10">
    <w:abstractNumId w:val="11"/>
  </w:num>
  <w:num w:numId="11">
    <w:abstractNumId w:val="7"/>
  </w:num>
  <w:num w:numId="12">
    <w:abstractNumId w:val="23"/>
  </w:num>
  <w:num w:numId="13">
    <w:abstractNumId w:val="21"/>
  </w:num>
  <w:num w:numId="14">
    <w:abstractNumId w:val="12"/>
  </w:num>
  <w:num w:numId="15">
    <w:abstractNumId w:val="24"/>
  </w:num>
  <w:num w:numId="16">
    <w:abstractNumId w:val="40"/>
  </w:num>
  <w:num w:numId="17">
    <w:abstractNumId w:val="36"/>
  </w:num>
  <w:num w:numId="18">
    <w:abstractNumId w:val="32"/>
  </w:num>
  <w:num w:numId="19">
    <w:abstractNumId w:val="41"/>
  </w:num>
  <w:num w:numId="20">
    <w:abstractNumId w:val="29"/>
  </w:num>
  <w:num w:numId="21">
    <w:abstractNumId w:val="35"/>
  </w:num>
  <w:num w:numId="22">
    <w:abstractNumId w:val="28"/>
  </w:num>
  <w:num w:numId="23">
    <w:abstractNumId w:val="5"/>
  </w:num>
  <w:num w:numId="24">
    <w:abstractNumId w:val="18"/>
  </w:num>
  <w:num w:numId="25">
    <w:abstractNumId w:val="30"/>
  </w:num>
  <w:num w:numId="26">
    <w:abstractNumId w:val="9"/>
  </w:num>
  <w:num w:numId="27">
    <w:abstractNumId w:val="38"/>
  </w:num>
  <w:num w:numId="28">
    <w:abstractNumId w:val="14"/>
  </w:num>
  <w:num w:numId="29">
    <w:abstractNumId w:val="34"/>
  </w:num>
  <w:num w:numId="30">
    <w:abstractNumId w:val="8"/>
  </w:num>
  <w:num w:numId="31">
    <w:abstractNumId w:val="27"/>
  </w:num>
  <w:num w:numId="32">
    <w:abstractNumId w:val="16"/>
  </w:num>
  <w:num w:numId="33">
    <w:abstractNumId w:val="6"/>
  </w:num>
  <w:num w:numId="34">
    <w:abstractNumId w:val="17"/>
  </w:num>
  <w:num w:numId="35">
    <w:abstractNumId w:val="19"/>
  </w:num>
  <w:num w:numId="36">
    <w:abstractNumId w:val="37"/>
  </w:num>
  <w:num w:numId="37">
    <w:abstractNumId w:val="0"/>
  </w:num>
  <w:num w:numId="38">
    <w:abstractNumId w:val="2"/>
  </w:num>
  <w:num w:numId="39">
    <w:abstractNumId w:val="1"/>
  </w:num>
  <w:num w:numId="40">
    <w:abstractNumId w:val="25"/>
  </w:num>
  <w:num w:numId="41">
    <w:abstractNumId w:val="22"/>
  </w:num>
  <w:num w:numId="42">
    <w:abstractNumId w:val="44"/>
  </w:num>
  <w:num w:numId="43">
    <w:abstractNumId w:val="42"/>
  </w:num>
  <w:num w:numId="44">
    <w:abstractNumId w:val="4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6"/>
    <w:next w:val="7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6"/>
    <w:next w:val="7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next w:val="706"/>
    <w:link w:val="706"/>
    <w:qFormat/>
    <w:rPr>
      <w:lang w:val="ru-RU" w:eastAsia="ru-RU" w:bidi="ar-SA"/>
    </w:rPr>
  </w:style>
  <w:style w:type="paragraph" w:styleId="707">
    <w:name w:val="Заголовок 1"/>
    <w:basedOn w:val="706"/>
    <w:next w:val="706"/>
    <w:link w:val="706"/>
    <w:qFormat/>
    <w:pPr>
      <w:keepNext/>
      <w:outlineLvl w:val="0"/>
    </w:pPr>
    <w:rPr>
      <w:sz w:val="24"/>
    </w:rPr>
  </w:style>
  <w:style w:type="paragraph" w:styleId="708">
    <w:name w:val="Заголовок 2"/>
    <w:basedOn w:val="706"/>
    <w:next w:val="706"/>
    <w:link w:val="706"/>
    <w:qFormat/>
    <w:pPr>
      <w:jc w:val="center"/>
      <w:keepNext/>
      <w:outlineLvl w:val="1"/>
    </w:pPr>
    <w:rPr>
      <w:sz w:val="24"/>
    </w:rPr>
  </w:style>
  <w:style w:type="paragraph" w:styleId="709">
    <w:name w:val="Заголовок 3"/>
    <w:basedOn w:val="706"/>
    <w:next w:val="706"/>
    <w:link w:val="706"/>
    <w:qFormat/>
    <w:pPr>
      <w:jc w:val="center"/>
      <w:keepNext/>
      <w:outlineLvl w:val="2"/>
    </w:pPr>
    <w:rPr>
      <w:b/>
      <w:sz w:val="24"/>
    </w:rPr>
  </w:style>
  <w:style w:type="paragraph" w:styleId="710">
    <w:name w:val="Заголовок 4"/>
    <w:basedOn w:val="706"/>
    <w:next w:val="706"/>
    <w:link w:val="706"/>
    <w:qFormat/>
    <w:pPr>
      <w:ind w:left="2832" w:firstLine="708"/>
      <w:keepNext/>
      <w:outlineLvl w:val="3"/>
    </w:pPr>
    <w:rPr>
      <w:b/>
      <w:sz w:val="24"/>
    </w:rPr>
  </w:style>
  <w:style w:type="paragraph" w:styleId="711">
    <w:name w:val="Заголовок 5"/>
    <w:basedOn w:val="706"/>
    <w:next w:val="706"/>
    <w:link w:val="706"/>
    <w:qFormat/>
    <w:pPr>
      <w:keepNext/>
      <w:outlineLvl w:val="4"/>
    </w:pPr>
    <w:rPr>
      <w:sz w:val="28"/>
    </w:rPr>
  </w:style>
  <w:style w:type="character" w:styleId="712">
    <w:name w:val="Основной шрифт абзаца"/>
    <w:next w:val="712"/>
    <w:link w:val="706"/>
    <w:semiHidden/>
  </w:style>
  <w:style w:type="table" w:styleId="713">
    <w:name w:val="Обычная таблица"/>
    <w:next w:val="713"/>
    <w:link w:val="706"/>
    <w:semiHidden/>
    <w:tblPr/>
  </w:style>
  <w:style w:type="numbering" w:styleId="714">
    <w:name w:val="Нет списка"/>
    <w:next w:val="714"/>
    <w:link w:val="706"/>
    <w:semiHidden/>
  </w:style>
  <w:style w:type="paragraph" w:styleId="715">
    <w:name w:val="Название"/>
    <w:basedOn w:val="706"/>
    <w:next w:val="715"/>
    <w:link w:val="706"/>
    <w:qFormat/>
    <w:pPr>
      <w:jc w:val="center"/>
      <w:spacing w:line="360" w:lineRule="auto"/>
    </w:pPr>
    <w:rPr>
      <w:sz w:val="24"/>
    </w:rPr>
  </w:style>
  <w:style w:type="paragraph" w:styleId="716">
    <w:name w:val="Основной текст"/>
    <w:basedOn w:val="706"/>
    <w:next w:val="716"/>
    <w:link w:val="723"/>
    <w:pPr>
      <w:jc w:val="both"/>
      <w:spacing w:line="360" w:lineRule="auto"/>
    </w:pPr>
    <w:rPr>
      <w:sz w:val="24"/>
      <w:lang w:eastAsia="ru-RU"/>
    </w:rPr>
  </w:style>
  <w:style w:type="paragraph" w:styleId="717">
    <w:name w:val="Основной текст 2"/>
    <w:basedOn w:val="706"/>
    <w:next w:val="717"/>
    <w:link w:val="722"/>
    <w:rPr>
      <w:sz w:val="28"/>
    </w:rPr>
  </w:style>
  <w:style w:type="paragraph" w:styleId="718">
    <w:name w:val="Нижний колонтитул"/>
    <w:basedOn w:val="706"/>
    <w:next w:val="718"/>
    <w:link w:val="706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19">
    <w:name w:val="Основной текст 3"/>
    <w:basedOn w:val="706"/>
    <w:next w:val="719"/>
    <w:link w:val="706"/>
    <w:rPr>
      <w:i/>
      <w:iCs/>
      <w:sz w:val="28"/>
    </w:rPr>
  </w:style>
  <w:style w:type="paragraph" w:styleId="720">
    <w:name w:val="Основной текст с отступом"/>
    <w:basedOn w:val="706"/>
    <w:next w:val="720"/>
    <w:link w:val="706"/>
    <w:pPr>
      <w:jc w:val="both"/>
    </w:pPr>
    <w:rPr>
      <w:sz w:val="28"/>
      <w:szCs w:val="28"/>
    </w:rPr>
  </w:style>
  <w:style w:type="paragraph" w:styleId="721">
    <w:name w:val="Текст выноски"/>
    <w:basedOn w:val="706"/>
    <w:next w:val="721"/>
    <w:link w:val="706"/>
    <w:semiHidden/>
    <w:rPr>
      <w:rFonts w:ascii="Tahoma" w:hAnsi="Tahoma" w:cs="Tahoma"/>
      <w:sz w:val="16"/>
      <w:szCs w:val="16"/>
    </w:rPr>
  </w:style>
  <w:style w:type="character" w:styleId="722">
    <w:name w:val="Основной текст 2 Знак"/>
    <w:next w:val="722"/>
    <w:link w:val="717"/>
    <w:rPr>
      <w:sz w:val="28"/>
    </w:rPr>
  </w:style>
  <w:style w:type="character" w:styleId="723">
    <w:name w:val="Основной текст Знак"/>
    <w:next w:val="723"/>
    <w:link w:val="716"/>
    <w:rPr>
      <w:sz w:val="24"/>
    </w:rPr>
  </w:style>
  <w:style w:type="character" w:styleId="724">
    <w:name w:val="Гиперссылка"/>
    <w:next w:val="724"/>
    <w:link w:val="706"/>
    <w:rPr>
      <w:color w:val="0000ff"/>
      <w:u w:val="single"/>
    </w:rPr>
  </w:style>
  <w:style w:type="paragraph" w:styleId="725">
    <w:name w:val="Без интервала"/>
    <w:next w:val="725"/>
    <w:link w:val="70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085" w:default="1">
    <w:name w:val="Default Paragraph Font"/>
    <w:uiPriority w:val="1"/>
    <w:semiHidden/>
    <w:unhideWhenUsed/>
  </w:style>
  <w:style w:type="numbering" w:styleId="1086" w:default="1">
    <w:name w:val="No List"/>
    <w:uiPriority w:val="99"/>
    <w:semiHidden/>
    <w:unhideWhenUsed/>
  </w:style>
  <w:style w:type="table" w:styleId="10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КУГИ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>JOГO JARDIM x8?! PORRA! DIA 8 VOTA NГO!</dc:subject>
  <dc:creator>VOTA NГO А REGIONALIZAЗГO! SIM AO REFORЗO DO MUNICIPALISMO!</dc:creator>
  <cp:lastModifiedBy>Алиева А.Х. Управление государственной охраны объектов культурного наследия Нижегородской области Главный специалист</cp:lastModifiedBy>
  <cp:revision>7</cp:revision>
  <dcterms:created xsi:type="dcterms:W3CDTF">2026-02-11T08:24:00Z</dcterms:created>
  <dcterms:modified xsi:type="dcterms:W3CDTF">2026-02-12T14:33:38Z</dcterms:modified>
  <cp:version>917504</cp:version>
</cp:coreProperties>
</file>